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13283" w14:textId="22DF7C67" w:rsidR="00A1093D" w:rsidRPr="00EA256D" w:rsidRDefault="002D69EB" w:rsidP="00EA256D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B94E66">
        <w:rPr>
          <w:rFonts w:ascii="HG丸ｺﾞｼｯｸM-PRO" w:eastAsia="HG丸ｺﾞｼｯｸM-PRO" w:hAnsi="HG丸ｺﾞｼｯｸM-PRO" w:hint="eastAsia"/>
          <w:sz w:val="24"/>
          <w:szCs w:val="24"/>
        </w:rPr>
        <w:t>7</w:t>
      </w:r>
      <w:r w:rsidR="008A1E83">
        <w:rPr>
          <w:rFonts w:ascii="HG丸ｺﾞｼｯｸM-PRO" w:eastAsia="HG丸ｺﾞｼｯｸM-PRO" w:hAnsi="HG丸ｺﾞｼｯｸM-PRO"/>
          <w:sz w:val="24"/>
          <w:szCs w:val="24"/>
        </w:rPr>
        <w:t>年</w:t>
      </w:r>
      <w:r w:rsidR="00B94E66">
        <w:rPr>
          <w:rFonts w:ascii="HG丸ｺﾞｼｯｸM-PRO" w:eastAsia="HG丸ｺﾞｼｯｸM-PRO" w:hAnsi="HG丸ｺﾞｼｯｸM-PRO" w:hint="eastAsia"/>
          <w:sz w:val="24"/>
          <w:szCs w:val="24"/>
        </w:rPr>
        <w:t>8</w:t>
      </w:r>
      <w:r w:rsidR="00814714">
        <w:rPr>
          <w:rFonts w:ascii="HG丸ｺﾞｼｯｸM-PRO" w:eastAsia="HG丸ｺﾞｼｯｸM-PRO" w:hAnsi="HG丸ｺﾞｼｯｸM-PRO"/>
          <w:sz w:val="24"/>
          <w:szCs w:val="24"/>
        </w:rPr>
        <w:t>月</w:t>
      </w:r>
      <w:r w:rsidR="00A25FDF">
        <w:rPr>
          <w:rFonts w:ascii="HG丸ｺﾞｼｯｸM-PRO" w:eastAsia="HG丸ｺﾞｼｯｸM-PRO" w:hAnsi="HG丸ｺﾞｼｯｸM-PRO" w:hint="eastAsia"/>
          <w:sz w:val="24"/>
          <w:szCs w:val="24"/>
        </w:rPr>
        <w:t>26</w:t>
      </w:r>
      <w:r w:rsidR="00EA256D" w:rsidRPr="00EA256D">
        <w:rPr>
          <w:rFonts w:ascii="HG丸ｺﾞｼｯｸM-PRO" w:eastAsia="HG丸ｺﾞｼｯｸM-PRO" w:hAnsi="HG丸ｺﾞｼｯｸM-PRO"/>
          <w:sz w:val="24"/>
          <w:szCs w:val="24"/>
        </w:rPr>
        <w:t>日</w:t>
      </w:r>
    </w:p>
    <w:p w14:paraId="3EAB92D9" w14:textId="77777777" w:rsidR="00EA256D" w:rsidRPr="00EA256D" w:rsidRDefault="00EA256D" w:rsidP="00EA256D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572D5EB4" w14:textId="77777777" w:rsidR="00EA256D" w:rsidRPr="00EA256D" w:rsidRDefault="00EA256D" w:rsidP="00EA256D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00598D">
        <w:rPr>
          <w:rFonts w:ascii="HG丸ｺﾞｼｯｸM-PRO" w:eastAsia="HG丸ｺﾞｼｯｸM-PRO" w:hAnsi="HG丸ｺﾞｼｯｸM-PRO" w:hint="eastAsia"/>
          <w:b/>
          <w:sz w:val="26"/>
          <w:szCs w:val="26"/>
        </w:rPr>
        <w:t>置賜広域病院企業団特定事業主行動計画に係る実施状況及び</w:t>
      </w:r>
      <w:r w:rsidR="00970A8D">
        <w:rPr>
          <w:rFonts w:ascii="HG丸ｺﾞｼｯｸM-PRO" w:eastAsia="HG丸ｺﾞｼｯｸM-PRO" w:hAnsi="HG丸ｺﾞｼｯｸM-PRO"/>
          <w:b/>
          <w:sz w:val="26"/>
          <w:szCs w:val="26"/>
        </w:rPr>
        <w:br/>
      </w:r>
      <w:r w:rsidRPr="0000598D">
        <w:rPr>
          <w:rFonts w:ascii="HG丸ｺﾞｼｯｸM-PRO" w:eastAsia="HG丸ｺﾞｼｯｸM-PRO" w:hAnsi="HG丸ｺﾞｼｯｸM-PRO"/>
          <w:b/>
          <w:sz w:val="26"/>
          <w:szCs w:val="26"/>
        </w:rPr>
        <w:t>女性の職業選択に資する情報の公表について</w:t>
      </w:r>
    </w:p>
    <w:p w14:paraId="0297115C" w14:textId="77777777" w:rsidR="00EA256D" w:rsidRPr="00EA256D" w:rsidRDefault="00EA256D" w:rsidP="00EA256D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7881B476" w14:textId="091A72D8" w:rsidR="00EA256D" w:rsidRPr="00980A16" w:rsidRDefault="00E4090F" w:rsidP="00EA256D">
      <w:pPr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980A16">
        <w:rPr>
          <w:rFonts w:ascii="HG丸ｺﾞｼｯｸM-PRO" w:eastAsia="HG丸ｺﾞｼｯｸM-PRO" w:hAnsi="HG丸ｺﾞｼｯｸM-PRO"/>
          <w:sz w:val="24"/>
          <w:szCs w:val="24"/>
          <w:u w:val="single"/>
        </w:rPr>
        <w:t>１　特定事業主行動計画に係る実施状況</w:t>
      </w:r>
      <w:r w:rsidR="00EA256D" w:rsidRPr="00980A16">
        <w:rPr>
          <w:rFonts w:ascii="HG丸ｺﾞｼｯｸM-PRO" w:eastAsia="HG丸ｺﾞｼｯｸM-PRO" w:hAnsi="HG丸ｺﾞｼｯｸM-PRO"/>
          <w:sz w:val="24"/>
          <w:szCs w:val="24"/>
          <w:u w:val="single"/>
        </w:rPr>
        <w:t>取組状況</w:t>
      </w:r>
      <w:r w:rsidR="00796190">
        <w:rPr>
          <w:rFonts w:ascii="HG丸ｺﾞｼｯｸM-PRO" w:eastAsia="HG丸ｺﾞｼｯｸM-PRO" w:hAnsi="HG丸ｺﾞｼｯｸM-PRO"/>
          <w:sz w:val="24"/>
          <w:szCs w:val="24"/>
          <w:u w:val="single"/>
        </w:rPr>
        <w:t>（</w:t>
      </w:r>
      <w:r w:rsidR="0079619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令和</w:t>
      </w:r>
      <w:r w:rsidR="004A6CE1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6</w:t>
      </w:r>
      <w:r w:rsidR="00D31BE2" w:rsidRPr="00980A16">
        <w:rPr>
          <w:rFonts w:ascii="HG丸ｺﾞｼｯｸM-PRO" w:eastAsia="HG丸ｺﾞｼｯｸM-PRO" w:hAnsi="HG丸ｺﾞｼｯｸM-PRO"/>
          <w:sz w:val="24"/>
          <w:szCs w:val="24"/>
          <w:u w:val="single"/>
        </w:rPr>
        <w:t>年度）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7365"/>
      </w:tblGrid>
      <w:tr w:rsidR="00EA256D" w:rsidRPr="00EA256D" w14:paraId="227DE1FB" w14:textId="77777777" w:rsidTr="00461A88">
        <w:tc>
          <w:tcPr>
            <w:tcW w:w="1984" w:type="dxa"/>
          </w:tcPr>
          <w:p w14:paraId="22F4FBFF" w14:textId="77777777" w:rsidR="00EA256D" w:rsidRPr="00EA256D" w:rsidRDefault="00EA256D" w:rsidP="00EA256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A256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項目</w:t>
            </w:r>
          </w:p>
        </w:tc>
        <w:tc>
          <w:tcPr>
            <w:tcW w:w="7365" w:type="dxa"/>
          </w:tcPr>
          <w:p w14:paraId="2B742A0C" w14:textId="77777777" w:rsidR="00EA256D" w:rsidRPr="00EA256D" w:rsidRDefault="00EA256D" w:rsidP="00EA256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A256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内容</w:t>
            </w:r>
          </w:p>
        </w:tc>
      </w:tr>
      <w:tr w:rsidR="00EA256D" w:rsidRPr="00EA256D" w14:paraId="334591B6" w14:textId="77777777" w:rsidTr="00461A88">
        <w:tc>
          <w:tcPr>
            <w:tcW w:w="1984" w:type="dxa"/>
          </w:tcPr>
          <w:p w14:paraId="525328EF" w14:textId="77777777" w:rsidR="00EA256D" w:rsidRPr="00EA256D" w:rsidRDefault="00EA256D" w:rsidP="00EA256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A256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子育て支援ガイドブックの作成</w:t>
            </w:r>
          </w:p>
        </w:tc>
        <w:tc>
          <w:tcPr>
            <w:tcW w:w="7365" w:type="dxa"/>
          </w:tcPr>
          <w:p w14:paraId="5B562EFE" w14:textId="77777777" w:rsidR="00EA256D" w:rsidRDefault="00EA256D" w:rsidP="00E4090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A256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出産</w:t>
            </w:r>
            <w:r w:rsidR="00E4090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・子育てに関する</w:t>
            </w:r>
            <w:r w:rsidRPr="00EA256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休暇制度や職場復帰後の働き方等</w:t>
            </w:r>
            <w:r w:rsidR="00C732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について</w:t>
            </w:r>
            <w:r w:rsidRPr="00EA256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ガイドブックを作成</w:t>
            </w:r>
            <w:r w:rsidR="00E4090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し</w:t>
            </w:r>
            <w:r w:rsidR="00C732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、出産予定の職員へ</w:t>
            </w:r>
            <w:r w:rsidR="00992E4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周知しました</w:t>
            </w:r>
            <w:r w:rsidR="00E4090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。</w:t>
            </w:r>
          </w:p>
          <w:p w14:paraId="14559BC5" w14:textId="77777777" w:rsidR="00985C94" w:rsidRPr="00CF7538" w:rsidRDefault="00985C94" w:rsidP="00E4090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A256D" w:rsidRPr="00EA256D" w14:paraId="7756E5F8" w14:textId="77777777" w:rsidTr="00461A88">
        <w:tc>
          <w:tcPr>
            <w:tcW w:w="1984" w:type="dxa"/>
          </w:tcPr>
          <w:p w14:paraId="0EF3AEFD" w14:textId="77777777" w:rsidR="00EA256D" w:rsidRPr="00EA256D" w:rsidRDefault="0059593F" w:rsidP="00EA256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リフレッシュ休暇・アニバーサリー休暇の推進</w:t>
            </w:r>
          </w:p>
        </w:tc>
        <w:tc>
          <w:tcPr>
            <w:tcW w:w="7365" w:type="dxa"/>
          </w:tcPr>
          <w:p w14:paraId="358CD868" w14:textId="77777777" w:rsidR="00985C94" w:rsidRPr="00EA256D" w:rsidRDefault="006D3F1F" w:rsidP="0020639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ポスターを掲示して周知</w:t>
            </w:r>
            <w:r w:rsidR="0020639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しました。また、定期的に取組状況を把握し、まだ取得していない職員に対して呼びかけを行いました。</w:t>
            </w:r>
          </w:p>
        </w:tc>
      </w:tr>
      <w:tr w:rsidR="00EA256D" w:rsidRPr="00EA256D" w14:paraId="2352153F" w14:textId="77777777" w:rsidTr="00461A88">
        <w:tc>
          <w:tcPr>
            <w:tcW w:w="1984" w:type="dxa"/>
          </w:tcPr>
          <w:p w14:paraId="5BC15347" w14:textId="77777777" w:rsidR="00EA256D" w:rsidRPr="00EA256D" w:rsidRDefault="00EA256D" w:rsidP="00EA256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A256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福利厚生事業の実施</w:t>
            </w:r>
          </w:p>
        </w:tc>
        <w:tc>
          <w:tcPr>
            <w:tcW w:w="7365" w:type="dxa"/>
          </w:tcPr>
          <w:p w14:paraId="22A4B21F" w14:textId="77777777" w:rsidR="00985C94" w:rsidRPr="008E1DB3" w:rsidRDefault="00954358" w:rsidP="00EA256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助成金交付事業として、</w:t>
            </w:r>
            <w:r w:rsidRPr="009543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二次健診の自己負担料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や</w:t>
            </w:r>
            <w:r w:rsidRPr="009543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映画券購入費等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の費用の一部</w:t>
            </w:r>
            <w:r w:rsidR="008E1DB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を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助成</w:t>
            </w:r>
            <w:r w:rsidR="008E1DB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しました。また、院内施設で利用できる助成券を配付し、</w:t>
            </w:r>
            <w:r w:rsidR="00EA256D" w:rsidRPr="00EA256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福利厚生事業を実施</w:t>
            </w:r>
            <w:r w:rsidR="00E4090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しま</w:t>
            </w:r>
            <w:r w:rsidR="00E4090F" w:rsidRPr="0047668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し</w:t>
            </w:r>
            <w:r w:rsidR="00E4090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た。</w:t>
            </w:r>
          </w:p>
        </w:tc>
      </w:tr>
    </w:tbl>
    <w:p w14:paraId="1F05DE64" w14:textId="77777777" w:rsidR="00EA256D" w:rsidRDefault="00EA256D" w:rsidP="00EA256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3F316743" w14:textId="77777777" w:rsidR="004758FD" w:rsidRPr="00980A16" w:rsidRDefault="004758FD" w:rsidP="00EA256D">
      <w:pPr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980A16">
        <w:rPr>
          <w:rFonts w:ascii="HG丸ｺﾞｼｯｸM-PRO" w:eastAsia="HG丸ｺﾞｼｯｸM-PRO" w:hAnsi="HG丸ｺﾞｼｯｸM-PRO"/>
          <w:sz w:val="24"/>
          <w:szCs w:val="24"/>
          <w:u w:val="single"/>
        </w:rPr>
        <w:t>２　女性の職業選択に資する情報の公表について</w:t>
      </w:r>
    </w:p>
    <w:p w14:paraId="6553535F" w14:textId="77777777" w:rsidR="009A09E5" w:rsidRDefault="002F5C08" w:rsidP="00EA256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（１）</w:t>
      </w:r>
      <w:r>
        <w:rPr>
          <w:rFonts w:ascii="HG丸ｺﾞｼｯｸM-PRO" w:eastAsia="HG丸ｺﾞｼｯｸM-PRO" w:hAnsi="HG丸ｺﾞｼｯｸM-PRO"/>
          <w:sz w:val="24"/>
          <w:szCs w:val="24"/>
        </w:rPr>
        <w:t>女性職員の採用割合</w:t>
      </w:r>
    </w:p>
    <w:p w14:paraId="48B26224" w14:textId="228F57A3" w:rsidR="002F5C08" w:rsidRPr="00CE4E80" w:rsidRDefault="0059593F" w:rsidP="009A09E5">
      <w:pPr>
        <w:ind w:firstLineChars="200" w:firstLine="44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>【</w:t>
      </w:r>
      <w:r w:rsidR="002D69EB">
        <w:rPr>
          <w:rFonts w:ascii="HG丸ｺﾞｼｯｸM-PRO" w:eastAsia="HG丸ｺﾞｼｯｸM-PRO" w:hAnsi="HG丸ｺﾞｼｯｸM-PRO" w:hint="eastAsia"/>
          <w:sz w:val="22"/>
        </w:rPr>
        <w:t>令和</w:t>
      </w:r>
      <w:r w:rsidR="00B94E66">
        <w:rPr>
          <w:rFonts w:ascii="HG丸ｺﾞｼｯｸM-PRO" w:eastAsia="HG丸ｺﾞｼｯｸM-PRO" w:hAnsi="HG丸ｺﾞｼｯｸM-PRO" w:hint="eastAsia"/>
          <w:sz w:val="22"/>
        </w:rPr>
        <w:t>7</w:t>
      </w:r>
      <w:r w:rsidR="002F5C08" w:rsidRPr="00CE4E80">
        <w:rPr>
          <w:rFonts w:ascii="HG丸ｺﾞｼｯｸM-PRO" w:eastAsia="HG丸ｺﾞｼｯｸM-PRO" w:hAnsi="HG丸ｺﾞｼｯｸM-PRO"/>
          <w:sz w:val="22"/>
        </w:rPr>
        <w:t>年４月１日採用</w:t>
      </w:r>
      <w:r w:rsidR="002565BB" w:rsidRPr="00CE4E80">
        <w:rPr>
          <w:rFonts w:ascii="HG丸ｺﾞｼｯｸM-PRO" w:eastAsia="HG丸ｺﾞｼｯｸM-PRO" w:hAnsi="HG丸ｺﾞｼｯｸM-PRO"/>
          <w:sz w:val="22"/>
        </w:rPr>
        <w:t xml:space="preserve">　</w:t>
      </w:r>
      <w:r w:rsidR="002F5C08" w:rsidRPr="00CE4E80">
        <w:rPr>
          <w:rFonts w:ascii="HG丸ｺﾞｼｯｸM-PRO" w:eastAsia="HG丸ｺﾞｼｯｸM-PRO" w:hAnsi="HG丸ｺﾞｼｯｸM-PRO"/>
          <w:sz w:val="22"/>
        </w:rPr>
        <w:t>※医師除く】</w:t>
      </w:r>
    </w:p>
    <w:p w14:paraId="7E6BD7DD" w14:textId="77777777" w:rsidR="002F5C08" w:rsidRDefault="002F5C08" w:rsidP="00EA256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drawing>
          <wp:inline distT="0" distB="0" distL="0" distR="0" wp14:anchorId="54A184DB" wp14:editId="4D78A3B5">
            <wp:extent cx="5486400" cy="1828800"/>
            <wp:effectExtent l="0" t="0" r="0" b="0"/>
            <wp:docPr id="1" name="グラフ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A4542DB" w14:textId="77777777" w:rsidR="002F5C08" w:rsidRDefault="002F5C08" w:rsidP="00EA256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1E2291EB" w14:textId="77777777" w:rsidR="009A09E5" w:rsidRDefault="002F5C08" w:rsidP="00EA256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（２）女性職員数の割合</w:t>
      </w:r>
    </w:p>
    <w:p w14:paraId="2F44AD5A" w14:textId="22ABE300" w:rsidR="002F5C08" w:rsidRPr="00CE4E80" w:rsidRDefault="0059593F" w:rsidP="009A09E5">
      <w:pPr>
        <w:ind w:firstLineChars="200" w:firstLine="44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【令和</w:t>
      </w:r>
      <w:r w:rsidR="00B94E66">
        <w:rPr>
          <w:rFonts w:ascii="HG丸ｺﾞｼｯｸM-PRO" w:eastAsia="HG丸ｺﾞｼｯｸM-PRO" w:hAnsi="HG丸ｺﾞｼｯｸM-PRO" w:hint="eastAsia"/>
          <w:sz w:val="22"/>
        </w:rPr>
        <w:t>7</w:t>
      </w:r>
      <w:r w:rsidR="002565BB" w:rsidRPr="00CE4E80">
        <w:rPr>
          <w:rFonts w:ascii="HG丸ｺﾞｼｯｸM-PRO" w:eastAsia="HG丸ｺﾞｼｯｸM-PRO" w:hAnsi="HG丸ｺﾞｼｯｸM-PRO" w:hint="eastAsia"/>
          <w:sz w:val="22"/>
        </w:rPr>
        <w:t>年４月１日現在</w:t>
      </w:r>
      <w:r w:rsidR="009A09E5" w:rsidRPr="00CE4E80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2565BB" w:rsidRPr="00CE4E80">
        <w:rPr>
          <w:rFonts w:ascii="HG丸ｺﾞｼｯｸM-PRO" w:eastAsia="HG丸ｺﾞｼｯｸM-PRO" w:hAnsi="HG丸ｺﾞｼｯｸM-PRO" w:hint="eastAsia"/>
          <w:sz w:val="22"/>
        </w:rPr>
        <w:t>※育休、再任用短時間含む一般職</w:t>
      </w:r>
      <w:r w:rsidR="00333A47" w:rsidRPr="00CE4E80">
        <w:rPr>
          <w:rFonts w:ascii="HG丸ｺﾞｼｯｸM-PRO" w:eastAsia="HG丸ｺﾞｼｯｸM-PRO" w:hAnsi="HG丸ｺﾞｼｯｸM-PRO" w:hint="eastAsia"/>
          <w:sz w:val="22"/>
        </w:rPr>
        <w:t>】</w:t>
      </w:r>
    </w:p>
    <w:p w14:paraId="78BB2C62" w14:textId="56A62FF9" w:rsidR="003A59AA" w:rsidRDefault="003A59AA" w:rsidP="003A59AA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="00D14A61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drawing>
          <wp:inline distT="0" distB="0" distL="0" distR="0" wp14:anchorId="408B37AD" wp14:editId="298BA190">
            <wp:extent cx="5486400" cy="2000250"/>
            <wp:effectExtent l="0" t="0" r="0" b="0"/>
            <wp:docPr id="2" name="グラフ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FA2B1E0" w14:textId="77777777" w:rsidR="009A09E5" w:rsidRDefault="002F5C08" w:rsidP="00EA256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lastRenderedPageBreak/>
        <w:t xml:space="preserve">　（３）男女別の育児休業取得率</w:t>
      </w:r>
    </w:p>
    <w:p w14:paraId="5F8EA508" w14:textId="548EA20D" w:rsidR="002F5C08" w:rsidRDefault="0059593F" w:rsidP="009A09E5">
      <w:pPr>
        <w:ind w:firstLineChars="200" w:firstLine="4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2"/>
          <w:szCs w:val="24"/>
        </w:rPr>
        <w:t>【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令和</w:t>
      </w:r>
      <w:r w:rsidR="006314F0">
        <w:rPr>
          <w:rFonts w:ascii="HG丸ｺﾞｼｯｸM-PRO" w:eastAsia="HG丸ｺﾞｼｯｸM-PRO" w:hAnsi="HG丸ｺﾞｼｯｸM-PRO" w:hint="eastAsia"/>
          <w:sz w:val="22"/>
          <w:szCs w:val="24"/>
        </w:rPr>
        <w:t>6</w:t>
      </w:r>
      <w:r w:rsidR="00333A47" w:rsidRPr="00CE4E80">
        <w:rPr>
          <w:rFonts w:ascii="HG丸ｺﾞｼｯｸM-PRO" w:eastAsia="HG丸ｺﾞｼｯｸM-PRO" w:hAnsi="HG丸ｺﾞｼｯｸM-PRO"/>
          <w:sz w:val="22"/>
          <w:szCs w:val="24"/>
        </w:rPr>
        <w:t>年度実績】</w:t>
      </w:r>
    </w:p>
    <w:p w14:paraId="7E5E08C2" w14:textId="77777777" w:rsidR="002565BB" w:rsidRDefault="002565BB" w:rsidP="00EA256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drawing>
          <wp:inline distT="0" distB="0" distL="0" distR="0" wp14:anchorId="27809F6A" wp14:editId="1D3ED0A8">
            <wp:extent cx="5486400" cy="2047875"/>
            <wp:effectExtent l="0" t="0" r="0" b="9525"/>
            <wp:docPr id="4" name="グラフ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882E70B" w14:textId="222D8774" w:rsidR="002F5C08" w:rsidRDefault="002F5C08" w:rsidP="00EA256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50E698D7" w14:textId="6D21CE0C" w:rsidR="0056342D" w:rsidRDefault="002F5C08" w:rsidP="00EA256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（４）年次有給休暇の取得率</w:t>
      </w:r>
    </w:p>
    <w:p w14:paraId="5BD5482B" w14:textId="03904AA2" w:rsidR="002F5C08" w:rsidRDefault="009D2F95" w:rsidP="004A6CE1">
      <w:pPr>
        <w:ind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2FD6910" wp14:editId="09DB5F70">
            <wp:simplePos x="0" y="0"/>
            <wp:positionH relativeFrom="column">
              <wp:posOffset>280035</wp:posOffset>
            </wp:positionH>
            <wp:positionV relativeFrom="paragraph">
              <wp:posOffset>422910</wp:posOffset>
            </wp:positionV>
            <wp:extent cx="5486400" cy="2200275"/>
            <wp:effectExtent l="0" t="0" r="0" b="9525"/>
            <wp:wrapTopAndBottom/>
            <wp:docPr id="3" name="グラフ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V relativeFrom="margin">
              <wp14:pctHeight>0</wp14:pctHeight>
            </wp14:sizeRelV>
          </wp:anchor>
        </w:drawing>
      </w:r>
      <w:r w:rsidR="00333A47" w:rsidRPr="00CE4E80">
        <w:rPr>
          <w:rFonts w:ascii="HG丸ｺﾞｼｯｸM-PRO" w:eastAsia="HG丸ｺﾞｼｯｸM-PRO" w:hAnsi="HG丸ｺﾞｼｯｸM-PRO"/>
          <w:sz w:val="22"/>
          <w:szCs w:val="24"/>
        </w:rPr>
        <w:t>【</w:t>
      </w:r>
      <w:r w:rsidR="002D69EB">
        <w:rPr>
          <w:rFonts w:ascii="HG丸ｺﾞｼｯｸM-PRO" w:eastAsia="HG丸ｺﾞｼｯｸM-PRO" w:hAnsi="HG丸ｺﾞｼｯｸM-PRO" w:hint="eastAsia"/>
          <w:sz w:val="22"/>
          <w:szCs w:val="24"/>
        </w:rPr>
        <w:t>令和</w:t>
      </w:r>
      <w:r w:rsidR="00805B48">
        <w:rPr>
          <w:rFonts w:ascii="HG丸ｺﾞｼｯｸM-PRO" w:eastAsia="HG丸ｺﾞｼｯｸM-PRO" w:hAnsi="HG丸ｺﾞｼｯｸM-PRO" w:hint="eastAsia"/>
          <w:sz w:val="22"/>
          <w:szCs w:val="24"/>
        </w:rPr>
        <w:t>6</w:t>
      </w:r>
      <w:r w:rsidR="00333A47" w:rsidRPr="00CE4E80">
        <w:rPr>
          <w:rFonts w:ascii="HG丸ｺﾞｼｯｸM-PRO" w:eastAsia="HG丸ｺﾞｼｯｸM-PRO" w:hAnsi="HG丸ｺﾞｼｯｸM-PRO"/>
          <w:sz w:val="22"/>
          <w:szCs w:val="24"/>
        </w:rPr>
        <w:t>年</w:t>
      </w:r>
      <w:r w:rsidR="00333A47" w:rsidRPr="00CE4E80">
        <w:rPr>
          <w:rFonts w:ascii="HG丸ｺﾞｼｯｸM-PRO" w:eastAsia="HG丸ｺﾞｼｯｸM-PRO" w:hAnsi="HG丸ｺﾞｼｯｸM-PRO" w:hint="eastAsia"/>
          <w:sz w:val="22"/>
          <w:szCs w:val="24"/>
        </w:rPr>
        <w:t>１</w:t>
      </w:r>
      <w:r w:rsidR="0059593F">
        <w:rPr>
          <w:rFonts w:ascii="HG丸ｺﾞｼｯｸM-PRO" w:eastAsia="HG丸ｺﾞｼｯｸM-PRO" w:hAnsi="HG丸ｺﾞｼｯｸM-PRO"/>
          <w:sz w:val="22"/>
          <w:szCs w:val="24"/>
        </w:rPr>
        <w:t>月～</w:t>
      </w:r>
      <w:r w:rsidR="0059593F">
        <w:rPr>
          <w:rFonts w:ascii="HG丸ｺﾞｼｯｸM-PRO" w:eastAsia="HG丸ｺﾞｼｯｸM-PRO" w:hAnsi="HG丸ｺﾞｼｯｸM-PRO" w:hint="eastAsia"/>
          <w:sz w:val="22"/>
          <w:szCs w:val="24"/>
        </w:rPr>
        <w:t>令和</w:t>
      </w:r>
      <w:r w:rsidR="00805B48">
        <w:rPr>
          <w:rFonts w:ascii="HG丸ｺﾞｼｯｸM-PRO" w:eastAsia="HG丸ｺﾞｼｯｸM-PRO" w:hAnsi="HG丸ｺﾞｼｯｸM-PRO" w:hint="eastAsia"/>
          <w:sz w:val="22"/>
          <w:szCs w:val="24"/>
        </w:rPr>
        <w:t>6</w:t>
      </w:r>
      <w:r w:rsidR="00333A47" w:rsidRPr="00CE4E80">
        <w:rPr>
          <w:rFonts w:ascii="HG丸ｺﾞｼｯｸM-PRO" w:eastAsia="HG丸ｺﾞｼｯｸM-PRO" w:hAnsi="HG丸ｺﾞｼｯｸM-PRO"/>
          <w:sz w:val="22"/>
          <w:szCs w:val="24"/>
        </w:rPr>
        <w:t>年１２月</w:t>
      </w:r>
      <w:r w:rsidR="004E120C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 基幹病院のみ</w:t>
      </w:r>
      <w:r w:rsidR="00333A47" w:rsidRPr="00CE4E80">
        <w:rPr>
          <w:rFonts w:ascii="HG丸ｺﾞｼｯｸM-PRO" w:eastAsia="HG丸ｺﾞｼｯｸM-PRO" w:hAnsi="HG丸ｺﾞｼｯｸM-PRO"/>
          <w:sz w:val="22"/>
          <w:szCs w:val="24"/>
        </w:rPr>
        <w:t>】</w:t>
      </w:r>
    </w:p>
    <w:p w14:paraId="203E7E2D" w14:textId="16A64420" w:rsidR="00BE3185" w:rsidRDefault="002F5C08" w:rsidP="00EA256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（５）管理職の女性割合</w:t>
      </w:r>
    </w:p>
    <w:p w14:paraId="187B550C" w14:textId="48E07470" w:rsidR="00BE3185" w:rsidRDefault="00BE3185" w:rsidP="00EA256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 w:rsidRPr="00BE3185">
        <w:rPr>
          <w:rFonts w:ascii="HG丸ｺﾞｼｯｸM-PRO" w:eastAsia="HG丸ｺﾞｼｯｸM-PRO" w:hAnsi="HG丸ｺﾞｼｯｸM-PRO"/>
          <w:sz w:val="22"/>
          <w:szCs w:val="24"/>
        </w:rPr>
        <w:t xml:space="preserve">　→</w:t>
      </w:r>
      <w:r w:rsidR="002D69EB">
        <w:rPr>
          <w:rFonts w:ascii="HG丸ｺﾞｼｯｸM-PRO" w:eastAsia="HG丸ｺﾞｼｯｸM-PRO" w:hAnsi="HG丸ｺﾞｼｯｸM-PRO"/>
          <w:sz w:val="22"/>
          <w:szCs w:val="24"/>
        </w:rPr>
        <w:t>令和７</w:t>
      </w:r>
      <w:r w:rsidRPr="00BE3185">
        <w:rPr>
          <w:rFonts w:ascii="HG丸ｺﾞｼｯｸM-PRO" w:eastAsia="HG丸ｺﾞｼｯｸM-PRO" w:hAnsi="HG丸ｺﾞｼｯｸM-PRO"/>
          <w:sz w:val="22"/>
          <w:szCs w:val="24"/>
        </w:rPr>
        <w:t>年度までの数値目標　30％程度の維持</w:t>
      </w:r>
    </w:p>
    <w:p w14:paraId="4E7A78E3" w14:textId="0257C51F" w:rsidR="00BE3185" w:rsidRPr="00BE3185" w:rsidRDefault="00333A47" w:rsidP="00BE3185">
      <w:pPr>
        <w:ind w:firstLineChars="200" w:firstLine="440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 w:rsidRPr="00A11CAD">
        <w:rPr>
          <w:rFonts w:ascii="HG丸ｺﾞｼｯｸM-PRO" w:eastAsia="HG丸ｺﾞｼｯｸM-PRO" w:hAnsi="HG丸ｺﾞｼｯｸM-PRO"/>
          <w:sz w:val="22"/>
          <w:szCs w:val="24"/>
        </w:rPr>
        <w:t>【</w:t>
      </w:r>
      <w:r w:rsidR="0059593F">
        <w:rPr>
          <w:rFonts w:ascii="HG丸ｺﾞｼｯｸM-PRO" w:eastAsia="HG丸ｺﾞｼｯｸM-PRO" w:hAnsi="HG丸ｺﾞｼｯｸM-PRO" w:hint="eastAsia"/>
          <w:sz w:val="22"/>
          <w:szCs w:val="24"/>
        </w:rPr>
        <w:t>令和</w:t>
      </w:r>
      <w:r w:rsidR="00805B48">
        <w:rPr>
          <w:rFonts w:ascii="HG丸ｺﾞｼｯｸM-PRO" w:eastAsia="HG丸ｺﾞｼｯｸM-PRO" w:hAnsi="HG丸ｺﾞｼｯｸM-PRO" w:hint="eastAsia"/>
          <w:sz w:val="22"/>
          <w:szCs w:val="24"/>
        </w:rPr>
        <w:t>7</w:t>
      </w:r>
      <w:r w:rsidRPr="00A11CAD">
        <w:rPr>
          <w:rFonts w:ascii="HG丸ｺﾞｼｯｸM-PRO" w:eastAsia="HG丸ｺﾞｼｯｸM-PRO" w:hAnsi="HG丸ｺﾞｼｯｸM-PRO"/>
          <w:sz w:val="22"/>
          <w:szCs w:val="24"/>
        </w:rPr>
        <w:t>年４月１日現在】</w:t>
      </w:r>
    </w:p>
    <w:p w14:paraId="4B7C79E6" w14:textId="77777777" w:rsidR="009A09E5" w:rsidRDefault="004B3DA1" w:rsidP="00A11CAD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4B3DA1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B0F361" wp14:editId="5E75B3E4">
                <wp:simplePos x="0" y="0"/>
                <wp:positionH relativeFrom="column">
                  <wp:posOffset>5509260</wp:posOffset>
                </wp:positionH>
                <wp:positionV relativeFrom="paragraph">
                  <wp:posOffset>965835</wp:posOffset>
                </wp:positionV>
                <wp:extent cx="342900" cy="314325"/>
                <wp:effectExtent l="0" t="0" r="0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5FAC9C" w14:textId="77777777" w:rsidR="004B3DA1" w:rsidRPr="004B3DA1" w:rsidRDefault="004B3DA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B3DA1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目標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B0F36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3.8pt;margin-top:76.05pt;width:27pt;height:2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" stroked="f">
                <v:textbox inset="1mm,0,1mm,0">
                  <w:txbxContent>
                    <w:p w14:paraId="685FAC9C" w14:textId="77777777" w:rsidR="004B3DA1" w:rsidRPr="004B3DA1" w:rsidRDefault="004B3DA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4B3DA1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目標</w:t>
                      </w:r>
                    </w:p>
                  </w:txbxContent>
                </v:textbox>
              </v:shape>
            </w:pict>
          </mc:Fallback>
        </mc:AlternateContent>
      </w:r>
      <w:r w:rsidR="00A11CAD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="00FB1F68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inline distT="0" distB="0" distL="0" distR="0" wp14:anchorId="648321FE" wp14:editId="4E159FE5">
            <wp:extent cx="5486400" cy="2228850"/>
            <wp:effectExtent l="0" t="0" r="0" b="0"/>
            <wp:docPr id="8" name="グラフ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15D59CE" w14:textId="77777777" w:rsidR="001A376A" w:rsidRDefault="001A376A" w:rsidP="00A11CAD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54AE0DD" w14:textId="77777777" w:rsidR="001A376A" w:rsidRDefault="001A376A" w:rsidP="00A11CAD">
      <w:pPr>
        <w:ind w:firstLineChars="100" w:firstLine="2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1A376A">
        <w:rPr>
          <w:rFonts w:ascii="HG丸ｺﾞｼｯｸM-PRO" w:eastAsia="HG丸ｺﾞｼｯｸM-PRO" w:hAnsi="HG丸ｺﾞｼｯｸM-PRO" w:hint="eastAsia"/>
          <w:sz w:val="22"/>
          <w:szCs w:val="24"/>
        </w:rPr>
        <w:t>※</w:t>
      </w:r>
      <w:r w:rsidRPr="001A376A">
        <w:rPr>
          <w:rFonts w:ascii="HG丸ｺﾞｼｯｸM-PRO" w:eastAsia="HG丸ｺﾞｼｯｸM-PRO" w:hAnsi="HG丸ｺﾞｼｯｸM-PRO"/>
          <w:sz w:val="22"/>
          <w:szCs w:val="24"/>
        </w:rPr>
        <w:t>特に指定の無い</w:t>
      </w:r>
      <w:r w:rsidRPr="001A376A">
        <w:rPr>
          <w:rFonts w:ascii="HG丸ｺﾞｼｯｸM-PRO" w:eastAsia="HG丸ｺﾞｼｯｸM-PRO" w:hAnsi="HG丸ｺﾞｼｯｸM-PRO" w:hint="eastAsia"/>
          <w:sz w:val="22"/>
          <w:szCs w:val="24"/>
        </w:rPr>
        <w:t>場合は</w:t>
      </w:r>
      <w:r>
        <w:rPr>
          <w:rFonts w:ascii="HG丸ｺﾞｼｯｸM-PRO" w:eastAsia="HG丸ｺﾞｼｯｸM-PRO" w:hAnsi="HG丸ｺﾞｼｯｸM-PRO"/>
          <w:sz w:val="22"/>
          <w:szCs w:val="24"/>
        </w:rPr>
        <w:t>、企業団全体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の</w:t>
      </w:r>
      <w:r>
        <w:rPr>
          <w:rFonts w:ascii="HG丸ｺﾞｼｯｸM-PRO" w:eastAsia="HG丸ｺﾞｼｯｸM-PRO" w:hAnsi="HG丸ｺﾞｼｯｸM-PRO"/>
          <w:sz w:val="22"/>
          <w:szCs w:val="24"/>
        </w:rPr>
        <w:t>割合</w:t>
      </w:r>
    </w:p>
    <w:sectPr w:rsidR="001A376A" w:rsidSect="00EA256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8C9FA" w14:textId="77777777" w:rsidR="001A376A" w:rsidRDefault="001A376A" w:rsidP="001A376A">
      <w:r>
        <w:separator/>
      </w:r>
    </w:p>
  </w:endnote>
  <w:endnote w:type="continuationSeparator" w:id="0">
    <w:p w14:paraId="55E3E2B8" w14:textId="77777777" w:rsidR="001A376A" w:rsidRDefault="001A376A" w:rsidP="001A3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2388D" w14:textId="77777777" w:rsidR="001A376A" w:rsidRDefault="001A376A" w:rsidP="001A376A">
      <w:r>
        <w:separator/>
      </w:r>
    </w:p>
  </w:footnote>
  <w:footnote w:type="continuationSeparator" w:id="0">
    <w:p w14:paraId="731D5643" w14:textId="77777777" w:rsidR="001A376A" w:rsidRDefault="001A376A" w:rsidP="001A3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743"/>
    <w:rsid w:val="0000598D"/>
    <w:rsid w:val="0003189A"/>
    <w:rsid w:val="000D2FA6"/>
    <w:rsid w:val="001073AD"/>
    <w:rsid w:val="00115C87"/>
    <w:rsid w:val="00120905"/>
    <w:rsid w:val="00130B12"/>
    <w:rsid w:val="001346B3"/>
    <w:rsid w:val="001A376A"/>
    <w:rsid w:val="001C59A2"/>
    <w:rsid w:val="00206394"/>
    <w:rsid w:val="002565BB"/>
    <w:rsid w:val="00296EFE"/>
    <w:rsid w:val="002C7EC8"/>
    <w:rsid w:val="002D69EB"/>
    <w:rsid w:val="002F5C08"/>
    <w:rsid w:val="0032089D"/>
    <w:rsid w:val="00321D5D"/>
    <w:rsid w:val="00333A47"/>
    <w:rsid w:val="003631E3"/>
    <w:rsid w:val="003958F7"/>
    <w:rsid w:val="003A59AA"/>
    <w:rsid w:val="003D07B1"/>
    <w:rsid w:val="00406B1D"/>
    <w:rsid w:val="00431DF3"/>
    <w:rsid w:val="00456513"/>
    <w:rsid w:val="00461A88"/>
    <w:rsid w:val="004672CE"/>
    <w:rsid w:val="0047579D"/>
    <w:rsid w:val="004758FD"/>
    <w:rsid w:val="00476688"/>
    <w:rsid w:val="004A6CE1"/>
    <w:rsid w:val="004B3DA1"/>
    <w:rsid w:val="004B7282"/>
    <w:rsid w:val="004E120C"/>
    <w:rsid w:val="0050363F"/>
    <w:rsid w:val="00513D8C"/>
    <w:rsid w:val="00523C02"/>
    <w:rsid w:val="00533CD9"/>
    <w:rsid w:val="0054726F"/>
    <w:rsid w:val="0056342D"/>
    <w:rsid w:val="0059593F"/>
    <w:rsid w:val="005E2214"/>
    <w:rsid w:val="006314F0"/>
    <w:rsid w:val="006D3F1F"/>
    <w:rsid w:val="00705306"/>
    <w:rsid w:val="007131B6"/>
    <w:rsid w:val="0071465D"/>
    <w:rsid w:val="007377CE"/>
    <w:rsid w:val="007854FC"/>
    <w:rsid w:val="00796190"/>
    <w:rsid w:val="007B4A8F"/>
    <w:rsid w:val="007C6B60"/>
    <w:rsid w:val="00805B48"/>
    <w:rsid w:val="00814714"/>
    <w:rsid w:val="008A12C4"/>
    <w:rsid w:val="008A1E83"/>
    <w:rsid w:val="008D455A"/>
    <w:rsid w:val="008E1DB3"/>
    <w:rsid w:val="008F3C2B"/>
    <w:rsid w:val="00954358"/>
    <w:rsid w:val="00954D8A"/>
    <w:rsid w:val="00966D99"/>
    <w:rsid w:val="00970A8D"/>
    <w:rsid w:val="00980A16"/>
    <w:rsid w:val="00985C94"/>
    <w:rsid w:val="00990943"/>
    <w:rsid w:val="00992E42"/>
    <w:rsid w:val="009A09E5"/>
    <w:rsid w:val="009D2F95"/>
    <w:rsid w:val="009F48C4"/>
    <w:rsid w:val="00A1093D"/>
    <w:rsid w:val="00A11CAD"/>
    <w:rsid w:val="00A25FDF"/>
    <w:rsid w:val="00A26082"/>
    <w:rsid w:val="00A6208F"/>
    <w:rsid w:val="00A63738"/>
    <w:rsid w:val="00A731C3"/>
    <w:rsid w:val="00A96A19"/>
    <w:rsid w:val="00AA6A39"/>
    <w:rsid w:val="00AE3BCB"/>
    <w:rsid w:val="00B04210"/>
    <w:rsid w:val="00B52B8C"/>
    <w:rsid w:val="00B94E66"/>
    <w:rsid w:val="00BA1F8C"/>
    <w:rsid w:val="00BD5045"/>
    <w:rsid w:val="00BE3185"/>
    <w:rsid w:val="00C73282"/>
    <w:rsid w:val="00CE4E80"/>
    <w:rsid w:val="00CF7538"/>
    <w:rsid w:val="00D06102"/>
    <w:rsid w:val="00D13433"/>
    <w:rsid w:val="00D14A61"/>
    <w:rsid w:val="00D31B72"/>
    <w:rsid w:val="00D31BE2"/>
    <w:rsid w:val="00D32743"/>
    <w:rsid w:val="00D52B1F"/>
    <w:rsid w:val="00DA2DB2"/>
    <w:rsid w:val="00E34E80"/>
    <w:rsid w:val="00E4090F"/>
    <w:rsid w:val="00E85943"/>
    <w:rsid w:val="00EA256D"/>
    <w:rsid w:val="00EC10DE"/>
    <w:rsid w:val="00F35F85"/>
    <w:rsid w:val="00F4708A"/>
    <w:rsid w:val="00F606D8"/>
    <w:rsid w:val="00F667CA"/>
    <w:rsid w:val="00F83BEE"/>
    <w:rsid w:val="00F91776"/>
    <w:rsid w:val="00FB1F68"/>
    <w:rsid w:val="00FE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62BCBEFD"/>
  <w15:chartTrackingRefBased/>
  <w15:docId w15:val="{BF527FF0-4005-41AA-B1D2-415364724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2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37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376A"/>
  </w:style>
  <w:style w:type="paragraph" w:styleId="a6">
    <w:name w:val="footer"/>
    <w:basedOn w:val="a"/>
    <w:link w:val="a7"/>
    <w:uiPriority w:val="99"/>
    <w:unhideWhenUsed/>
    <w:rsid w:val="001A37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3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HG丸ｺﾞｼｯｸM-PRO" panose="020F0600000000000000" pitchFamily="50" charset="-128"/>
                <a:ea typeface="HG丸ｺﾞｼｯｸM-PRO" panose="020F0600000000000000" pitchFamily="50" charset="-128"/>
                <a:cs typeface="+mn-cs"/>
              </a:defRPr>
            </a:pPr>
            <a:r>
              <a:rPr lang="ja-JP"/>
              <a:t>男女別の採用割合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HG丸ｺﾞｼｯｸM-PRO" panose="020F0600000000000000" pitchFamily="50" charset="-128"/>
              <a:ea typeface="HG丸ｺﾞｼｯｸM-PRO" panose="020F0600000000000000" pitchFamily="50" charset="-128"/>
              <a:cs typeface="+mn-cs"/>
            </a:defRPr>
          </a:pPr>
          <a:endParaRPr lang="ja-JP"/>
        </a:p>
      </c:txPr>
    </c:title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ja-JP" altLang="en-US"/>
                      <a:t>男性　</a:t>
                    </a:r>
                    <a:r>
                      <a:rPr lang="en-US" altLang="ja-JP"/>
                      <a:t>13</a:t>
                    </a:r>
                    <a:r>
                      <a:rPr lang="ja-JP" altLang="en-US"/>
                      <a:t>人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1017-441A-8771-108D94C0DDD0}"/>
                </c:ext>
              </c:extLst>
            </c:dLbl>
            <c:spPr>
              <a:solidFill>
                <a:schemeClr val="bg1"/>
              </a:solidFill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HG丸ｺﾞｼｯｸM-PRO" panose="020F0600000000000000" pitchFamily="50" charset="-128"/>
                    <a:ea typeface="HG丸ｺﾞｼｯｸM-PRO" panose="020F0600000000000000" pitchFamily="50" charset="-128"/>
                    <a:cs typeface="+mn-cs"/>
                  </a:defRPr>
                </a:pPr>
                <a:endParaRPr lang="ja-JP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1"/>
              <c:pt idx="0">
                <c:v>採用者数</c:v>
              </c:pt>
            </c:strLit>
          </c:cat>
          <c:val>
            <c:numRef>
              <c:f>Sheet1!$B$2</c:f>
              <c:numCache>
                <c:formatCode>General</c:formatCode>
                <c:ptCount val="1"/>
                <c:pt idx="0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AD8-4BAF-B0B4-985DA23D617C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HG丸ｺﾞｼｯｸM-PRO" panose="020F0600000000000000" pitchFamily="50" charset="-128"/>
                        <a:ea typeface="HG丸ｺﾞｼｯｸM-PRO" panose="020F0600000000000000" pitchFamily="50" charset="-128"/>
                        <a:cs typeface="+mn-cs"/>
                      </a:defRPr>
                    </a:pPr>
                    <a:r>
                      <a:rPr lang="ja-JP" altLang="en-US"/>
                      <a:t>女性　</a:t>
                    </a:r>
                    <a:r>
                      <a:rPr lang="en-US" altLang="ja-JP"/>
                      <a:t>26</a:t>
                    </a:r>
                    <a:r>
                      <a:rPr lang="ja-JP" altLang="en-US"/>
                      <a:t>人</a:t>
                    </a:r>
                  </a:p>
                </c:rich>
              </c:tx>
              <c:spPr>
                <a:solidFill>
                  <a:schemeClr val="bg1"/>
                </a:solidFill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HG丸ｺﾞｼｯｸM-PRO" panose="020F0600000000000000" pitchFamily="50" charset="-128"/>
                      <a:ea typeface="HG丸ｺﾞｼｯｸM-PRO" panose="020F0600000000000000" pitchFamily="50" charset="-128"/>
                      <a:cs typeface="+mn-cs"/>
                    </a:defRPr>
                  </a:pPr>
                  <a:endParaRPr lang="ja-JP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1017-441A-8771-108D94C0DDD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HG丸ｺﾞｼｯｸM-PRO" panose="020F0600000000000000" pitchFamily="50" charset="-128"/>
                    <a:ea typeface="HG丸ｺﾞｼｯｸM-PRO" panose="020F0600000000000000" pitchFamily="50" charset="-128"/>
                    <a:cs typeface="+mn-cs"/>
                  </a:defRPr>
                </a:pPr>
                <a:endParaRPr lang="ja-JP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1"/>
              <c:pt idx="0">
                <c:v>採用者数</c:v>
              </c:pt>
            </c:strLit>
          </c:cat>
          <c:val>
            <c:numRef>
              <c:f>Sheet1!$C$2</c:f>
              <c:numCache>
                <c:formatCode>General</c:formatCode>
                <c:ptCount val="1"/>
                <c:pt idx="0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AD8-4BAF-B0B4-985DA23D61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47156112"/>
        <c:axId val="347153760"/>
      </c:barChart>
      <c:catAx>
        <c:axId val="3471561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HG丸ｺﾞｼｯｸM-PRO" panose="020F0600000000000000" pitchFamily="50" charset="-128"/>
                <a:ea typeface="HG丸ｺﾞｼｯｸM-PRO" panose="020F0600000000000000" pitchFamily="50" charset="-128"/>
                <a:cs typeface="+mn-cs"/>
              </a:defRPr>
            </a:pPr>
            <a:endParaRPr lang="ja-JP"/>
          </a:p>
        </c:txPr>
        <c:crossAx val="347153760"/>
        <c:crosses val="autoZero"/>
        <c:auto val="1"/>
        <c:lblAlgn val="ctr"/>
        <c:lblOffset val="100"/>
        <c:noMultiLvlLbl val="0"/>
      </c:catAx>
      <c:valAx>
        <c:axId val="347153760"/>
        <c:scaling>
          <c:orientation val="minMax"/>
        </c:scaling>
        <c:delete val="0"/>
        <c:axPos val="b"/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HG丸ｺﾞｼｯｸM-PRO" panose="020F0600000000000000" pitchFamily="50" charset="-128"/>
                <a:ea typeface="HG丸ｺﾞｼｯｸM-PRO" panose="020F0600000000000000" pitchFamily="50" charset="-128"/>
                <a:cs typeface="+mn-cs"/>
              </a:defRPr>
            </a:pPr>
            <a:endParaRPr lang="ja-JP"/>
          </a:p>
        </c:txPr>
        <c:crossAx val="3471561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HG丸ｺﾞｼｯｸM-PRO" panose="020F0600000000000000" pitchFamily="50" charset="-128"/>
          <a:ea typeface="HG丸ｺﾞｼｯｸM-PRO" panose="020F0600000000000000" pitchFamily="50" charset="-128"/>
        </a:defRPr>
      </a:pPr>
      <a:endParaRPr lang="ja-JP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HG丸ｺﾞｼｯｸM-PRO" panose="020F0600000000000000" pitchFamily="50" charset="-128"/>
                <a:ea typeface="HG丸ｺﾞｼｯｸM-PRO" panose="020F0600000000000000" pitchFamily="50" charset="-128"/>
                <a:cs typeface="+mn-cs"/>
              </a:defRPr>
            </a:pPr>
            <a:r>
              <a:rPr lang="ja-JP"/>
              <a:t>職員数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HG丸ｺﾞｼｯｸM-PRO" panose="020F0600000000000000" pitchFamily="50" charset="-128"/>
              <a:ea typeface="HG丸ｺﾞｼｯｸM-PRO" panose="020F0600000000000000" pitchFamily="50" charset="-128"/>
              <a:cs typeface="+mn-cs"/>
            </a:defRPr>
          </a:pPr>
          <a:endParaRPr lang="ja-JP"/>
        </a:p>
      </c:txPr>
    </c:title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男性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29F8EFC0-24DD-4F7D-9F91-33AAADC26030}" type="SERIESNAME">
                      <a:rPr lang="ja-JP" altLang="en-US"/>
                      <a:pPr/>
                      <a:t>[系列名]</a:t>
                    </a:fld>
                    <a:r>
                      <a:rPr lang="ja-JP" altLang="en-US"/>
                      <a:t>　</a:t>
                    </a:r>
                    <a:fld id="{C3A04658-C1B8-405E-A0FE-931B417BE379}" type="VALUE">
                      <a:rPr lang="en-US" altLang="ja-JP" baseline="0"/>
                      <a:pPr/>
                      <a:t>[値]</a:t>
                    </a:fld>
                    <a:r>
                      <a:rPr lang="ja-JP" altLang="en-US" baseline="0"/>
                      <a:t>人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0791-4290-8475-9F3B137520EE}"/>
                </c:ext>
              </c:extLst>
            </c:dLbl>
            <c:spPr>
              <a:solidFill>
                <a:schemeClr val="bg1"/>
              </a:solidFill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ln>
                      <a:noFill/>
                    </a:ln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HG丸ｺﾞｼｯｸM-PRO" panose="020F0600000000000000" pitchFamily="50" charset="-128"/>
                    <a:ea typeface="HG丸ｺﾞｼｯｸM-PRO" panose="020F0600000000000000" pitchFamily="50" charset="-128"/>
                    <a:cs typeface="+mn-cs"/>
                  </a:defRPr>
                </a:pPr>
                <a:endParaRPr lang="ja-JP"/>
              </a:p>
            </c:txPr>
            <c:dLblPos val="ctr"/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</c:f>
              <c:strCache>
                <c:ptCount val="1"/>
                <c:pt idx="0">
                  <c:v>職員数</c:v>
                </c:pt>
              </c:strCache>
            </c:strRef>
          </c:cat>
          <c:val>
            <c:numRef>
              <c:f>Sheet1!$B$2</c:f>
              <c:numCache>
                <c:formatCode>General</c:formatCode>
                <c:ptCount val="1"/>
                <c:pt idx="0">
                  <c:v>245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791-4290-8475-9F3B137520EE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女性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85F5C5F4-03B7-4C17-BD80-605DE9BDB0A9}" type="SERIESNAME">
                      <a:rPr lang="ja-JP" altLang="en-US"/>
                      <a:pPr/>
                      <a:t>[系列名]</a:t>
                    </a:fld>
                    <a:r>
                      <a:rPr lang="ja-JP" altLang="en-US" baseline="0"/>
                      <a:t>　</a:t>
                    </a:r>
                    <a:fld id="{0B70F2D0-71EA-444D-B63E-5D42BFECED12}" type="VALUE">
                      <a:rPr lang="en-US" altLang="ja-JP" baseline="0"/>
                      <a:pPr/>
                      <a:t>[値]</a:t>
                    </a:fld>
                    <a:r>
                      <a:rPr lang="ja-JP" altLang="en-US" baseline="0"/>
                      <a:t>人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0791-4290-8475-9F3B137520EE}"/>
                </c:ext>
              </c:extLst>
            </c:dLbl>
            <c:spPr>
              <a:solidFill>
                <a:schemeClr val="bg1"/>
              </a:solidFill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HG丸ｺﾞｼｯｸM-PRO" panose="020F0600000000000000" pitchFamily="50" charset="-128"/>
                    <a:ea typeface="HG丸ｺﾞｼｯｸM-PRO" panose="020F0600000000000000" pitchFamily="50" charset="-128"/>
                    <a:cs typeface="+mn-cs"/>
                  </a:defRPr>
                </a:pPr>
                <a:endParaRPr lang="ja-JP"/>
              </a:p>
            </c:txPr>
            <c:dLblPos val="ctr"/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</c:f>
              <c:strCache>
                <c:ptCount val="1"/>
                <c:pt idx="0">
                  <c:v>職員数</c:v>
                </c:pt>
              </c:strCache>
            </c:strRef>
          </c:cat>
          <c:val>
            <c:numRef>
              <c:f>Sheet1!$C$2</c:f>
              <c:numCache>
                <c:formatCode>General</c:formatCode>
                <c:ptCount val="1"/>
                <c:pt idx="0">
                  <c:v>566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791-4290-8475-9F3B137520EE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347156504"/>
        <c:axId val="347155720"/>
      </c:barChart>
      <c:catAx>
        <c:axId val="3471565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HG丸ｺﾞｼｯｸM-PRO" panose="020F0600000000000000" pitchFamily="50" charset="-128"/>
                <a:ea typeface="HG丸ｺﾞｼｯｸM-PRO" panose="020F0600000000000000" pitchFamily="50" charset="-128"/>
                <a:cs typeface="+mn-cs"/>
              </a:defRPr>
            </a:pPr>
            <a:endParaRPr lang="ja-JP"/>
          </a:p>
        </c:txPr>
        <c:crossAx val="347155720"/>
        <c:crosses val="autoZero"/>
        <c:auto val="1"/>
        <c:lblAlgn val="ctr"/>
        <c:lblOffset val="100"/>
        <c:noMultiLvlLbl val="0"/>
      </c:catAx>
      <c:valAx>
        <c:axId val="347155720"/>
        <c:scaling>
          <c:orientation val="minMax"/>
        </c:scaling>
        <c:delete val="0"/>
        <c:axPos val="b"/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HG丸ｺﾞｼｯｸM-PRO" panose="020F0600000000000000" pitchFamily="50" charset="-128"/>
                <a:ea typeface="HG丸ｺﾞｼｯｸM-PRO" panose="020F0600000000000000" pitchFamily="50" charset="-128"/>
                <a:cs typeface="+mn-cs"/>
              </a:defRPr>
            </a:pPr>
            <a:endParaRPr lang="ja-JP"/>
          </a:p>
        </c:txPr>
        <c:crossAx val="3471565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HG丸ｺﾞｼｯｸM-PRO" panose="020F0600000000000000" pitchFamily="50" charset="-128"/>
          <a:ea typeface="HG丸ｺﾞｼｯｸM-PRO" panose="020F0600000000000000" pitchFamily="50" charset="-128"/>
        </a:defRPr>
      </a:pPr>
      <a:endParaRPr lang="ja-JP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HG丸ｺﾞｼｯｸM-PRO" panose="020F0600000000000000" pitchFamily="50" charset="-128"/>
                <a:ea typeface="HG丸ｺﾞｼｯｸM-PRO" panose="020F0600000000000000" pitchFamily="50" charset="-128"/>
                <a:cs typeface="+mn-cs"/>
              </a:defRPr>
            </a:pPr>
            <a:r>
              <a:rPr lang="ja-JP"/>
              <a:t>育児休業取得率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HG丸ｺﾞｼｯｸM-PRO" panose="020F0600000000000000" pitchFamily="50" charset="-128"/>
              <a:ea typeface="HG丸ｺﾞｼｯｸM-PRO" panose="020F0600000000000000" pitchFamily="50" charset="-128"/>
              <a:cs typeface="+mn-cs"/>
            </a:defRPr>
          </a:pPr>
          <a:endParaRPr lang="ja-JP"/>
        </a:p>
      </c:txPr>
    </c:title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取得率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5.7870370370370371E-2"/>
                  <c:y val="-1.0479155221876336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44D-443B-A010-32D28E718507}"/>
                </c:ext>
              </c:extLst>
            </c:dLbl>
            <c:numFmt formatCode="0%" sourceLinked="0"/>
            <c:spPr>
              <a:solidFill>
                <a:schemeClr val="bg1"/>
              </a:solidFill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HG丸ｺﾞｼｯｸM-PRO" panose="020F0600000000000000" pitchFamily="50" charset="-128"/>
                    <a:ea typeface="HG丸ｺﾞｼｯｸM-PRO" panose="020F0600000000000000" pitchFamily="50" charset="-128"/>
                    <a:cs typeface="+mn-cs"/>
                  </a:defRPr>
                </a:pPr>
                <a:endParaRPr lang="ja-JP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男性</c:v>
                </c:pt>
                <c:pt idx="1">
                  <c:v>女性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0.46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44D-443B-A010-32D28E718507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347149840"/>
        <c:axId val="347154152"/>
      </c:barChart>
      <c:catAx>
        <c:axId val="34714984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HG丸ｺﾞｼｯｸM-PRO" panose="020F0600000000000000" pitchFamily="50" charset="-128"/>
                <a:ea typeface="HG丸ｺﾞｼｯｸM-PRO" panose="020F0600000000000000" pitchFamily="50" charset="-128"/>
                <a:cs typeface="+mn-cs"/>
              </a:defRPr>
            </a:pPr>
            <a:endParaRPr lang="ja-JP"/>
          </a:p>
        </c:txPr>
        <c:crossAx val="347154152"/>
        <c:crosses val="autoZero"/>
        <c:auto val="1"/>
        <c:lblAlgn val="ctr"/>
        <c:lblOffset val="100"/>
        <c:noMultiLvlLbl val="0"/>
      </c:catAx>
      <c:valAx>
        <c:axId val="347154152"/>
        <c:scaling>
          <c:orientation val="minMax"/>
          <c:max val="1"/>
        </c:scaling>
        <c:delete val="0"/>
        <c:axPos val="b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HG丸ｺﾞｼｯｸM-PRO" panose="020F0600000000000000" pitchFamily="50" charset="-128"/>
                <a:ea typeface="HG丸ｺﾞｼｯｸM-PRO" panose="020F0600000000000000" pitchFamily="50" charset="-128"/>
                <a:cs typeface="+mn-cs"/>
              </a:defRPr>
            </a:pPr>
            <a:endParaRPr lang="ja-JP"/>
          </a:p>
        </c:txPr>
        <c:crossAx val="347149840"/>
        <c:crosses val="autoZero"/>
        <c:crossBetween val="between"/>
        <c:majorUnit val="0.5"/>
        <c:minorUnit val="2.5000000000000005E-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HG丸ｺﾞｼｯｸM-PRO" panose="020F0600000000000000" pitchFamily="50" charset="-128"/>
          <a:ea typeface="HG丸ｺﾞｼｯｸM-PRO" panose="020F0600000000000000" pitchFamily="50" charset="-128"/>
        </a:defRPr>
      </a:pPr>
      <a:endParaRPr lang="ja-JP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HG丸ｺﾞｼｯｸM-PRO" panose="020F0600000000000000" pitchFamily="50" charset="-128"/>
                <a:ea typeface="HG丸ｺﾞｼｯｸM-PRO" panose="020F0600000000000000" pitchFamily="50" charset="-128"/>
                <a:cs typeface="+mn-cs"/>
              </a:defRPr>
            </a:pPr>
            <a:r>
              <a:rPr lang="ja-JP" altLang="en-US"/>
              <a:t>年休取得率</a:t>
            </a:r>
          </a:p>
        </c:rich>
      </c:tx>
      <c:layout>
        <c:manualLayout>
          <c:xMode val="edge"/>
          <c:yMode val="edge"/>
          <c:x val="0.41203703703703703"/>
          <c:y val="3.100775193798449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HG丸ｺﾞｼｯｸM-PRO" panose="020F0600000000000000" pitchFamily="50" charset="-128"/>
              <a:ea typeface="HG丸ｺﾞｼｯｸM-PRO" panose="020F0600000000000000" pitchFamily="50" charset="-128"/>
              <a:cs typeface="+mn-cs"/>
            </a:defRPr>
          </a:pPr>
          <a:endParaRPr lang="ja-JP"/>
        </a:p>
      </c:txPr>
    </c:title>
    <c:autoTitleDeleted val="0"/>
    <c:plotArea>
      <c:layout>
        <c:manualLayout>
          <c:layoutTarget val="inner"/>
          <c:xMode val="edge"/>
          <c:yMode val="edge"/>
          <c:x val="8.8983121901428985E-2"/>
          <c:y val="0.18388009909976205"/>
          <c:w val="0.86222604986876628"/>
          <c:h val="0.71856992175043544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取得率</c:v>
                </c:pt>
              </c:strCache>
            </c:strRef>
          </c:tx>
          <c:spPr>
            <a:solidFill>
              <a:schemeClr val="accent6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dLbls>
            <c:numFmt formatCode="0%" sourceLinked="0"/>
            <c:spPr>
              <a:solidFill>
                <a:schemeClr val="bg1"/>
              </a:solidFill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HG丸ｺﾞｼｯｸM-PRO" panose="020F0600000000000000" pitchFamily="50" charset="-128"/>
                    <a:ea typeface="HG丸ｺﾞｼｯｸM-PRO" panose="020F0600000000000000" pitchFamily="50" charset="-128"/>
                    <a:cs typeface="+mn-cs"/>
                  </a:defRPr>
                </a:pPr>
                <a:endParaRPr lang="ja-JP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Sheet1!$A$2:$A$13</c:f>
              <c:strCache>
                <c:ptCount val="11"/>
                <c:pt idx="0">
                  <c:v>H26</c:v>
                </c:pt>
                <c:pt idx="1">
                  <c:v>H27</c:v>
                </c:pt>
                <c:pt idx="2">
                  <c:v>H28</c:v>
                </c:pt>
                <c:pt idx="3">
                  <c:v>H29</c:v>
                </c:pt>
                <c:pt idx="4">
                  <c:v>H30</c:v>
                </c:pt>
                <c:pt idx="5">
                  <c:v>R1</c:v>
                </c:pt>
                <c:pt idx="6">
                  <c:v>R2</c:v>
                </c:pt>
                <c:pt idx="7">
                  <c:v>R3</c:v>
                </c:pt>
                <c:pt idx="8">
                  <c:v>R4</c:v>
                </c:pt>
                <c:pt idx="9">
                  <c:v>R5</c:v>
                </c:pt>
                <c:pt idx="10">
                  <c:v>R6</c:v>
                </c:pt>
              </c:strCache>
            </c:str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0.30499999999999999</c:v>
                </c:pt>
                <c:pt idx="1">
                  <c:v>0.27500000000000002</c:v>
                </c:pt>
                <c:pt idx="2">
                  <c:v>0.34500000000000003</c:v>
                </c:pt>
                <c:pt idx="3">
                  <c:v>0.33500000000000002</c:v>
                </c:pt>
                <c:pt idx="4">
                  <c:v>0.38</c:v>
                </c:pt>
                <c:pt idx="5">
                  <c:v>0.39</c:v>
                </c:pt>
                <c:pt idx="6">
                  <c:v>0.41</c:v>
                </c:pt>
                <c:pt idx="7">
                  <c:v>0.42</c:v>
                </c:pt>
                <c:pt idx="8">
                  <c:v>0.46</c:v>
                </c:pt>
                <c:pt idx="9">
                  <c:v>0.5</c:v>
                </c:pt>
                <c:pt idx="10">
                  <c:v>0.46500000000000002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D0D-4A26-ACBE-20713CFA4EF1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347151016"/>
        <c:axId val="347150232"/>
      </c:barChart>
      <c:catAx>
        <c:axId val="347151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HG丸ｺﾞｼｯｸM-PRO" panose="020F0600000000000000" pitchFamily="50" charset="-128"/>
                <a:ea typeface="HG丸ｺﾞｼｯｸM-PRO" panose="020F0600000000000000" pitchFamily="50" charset="-128"/>
                <a:cs typeface="+mn-cs"/>
              </a:defRPr>
            </a:pPr>
            <a:endParaRPr lang="ja-JP"/>
          </a:p>
        </c:txPr>
        <c:crossAx val="347150232"/>
        <c:crosses val="autoZero"/>
        <c:auto val="1"/>
        <c:lblAlgn val="ctr"/>
        <c:lblOffset val="100"/>
        <c:noMultiLvlLbl val="0"/>
      </c:catAx>
      <c:valAx>
        <c:axId val="347150232"/>
        <c:scaling>
          <c:orientation val="minMax"/>
          <c:max val="0.75000000000000011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HG丸ｺﾞｼｯｸM-PRO" panose="020F0600000000000000" pitchFamily="50" charset="-128"/>
                <a:ea typeface="HG丸ｺﾞｼｯｸM-PRO" panose="020F0600000000000000" pitchFamily="50" charset="-128"/>
                <a:cs typeface="+mn-cs"/>
              </a:defRPr>
            </a:pPr>
            <a:endParaRPr lang="ja-JP"/>
          </a:p>
        </c:txPr>
        <c:crossAx val="347151016"/>
        <c:crosses val="autoZero"/>
        <c:crossBetween val="between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HG丸ｺﾞｼｯｸM-PRO" panose="020F0600000000000000" pitchFamily="50" charset="-128"/>
          <a:ea typeface="HG丸ｺﾞｼｯｸM-PRO" panose="020F0600000000000000" pitchFamily="50" charset="-128"/>
        </a:defRPr>
      </a:pPr>
      <a:endParaRPr lang="ja-JP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HG丸ｺﾞｼｯｸM-PRO" panose="020F0600000000000000" pitchFamily="50" charset="-128"/>
                <a:ea typeface="HG丸ｺﾞｼｯｸM-PRO" panose="020F0600000000000000" pitchFamily="50" charset="-128"/>
                <a:cs typeface="+mn-cs"/>
              </a:defRPr>
            </a:pPr>
            <a:r>
              <a:rPr lang="ja-JP"/>
              <a:t>女性管理職の割合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HG丸ｺﾞｼｯｸM-PRO" panose="020F0600000000000000" pitchFamily="50" charset="-128"/>
              <a:ea typeface="HG丸ｺﾞｼｯｸM-PRO" panose="020F0600000000000000" pitchFamily="50" charset="-128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列1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Lbls>
            <c:numFmt formatCode="0%" sourceLinked="0"/>
            <c:spPr>
              <a:solidFill>
                <a:schemeClr val="bg1"/>
              </a:solidFill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HG丸ｺﾞｼｯｸM-PRO" panose="020F0600000000000000" pitchFamily="50" charset="-128"/>
                    <a:ea typeface="HG丸ｺﾞｼｯｸM-PRO" panose="020F0600000000000000" pitchFamily="50" charset="-128"/>
                    <a:cs typeface="+mn-cs"/>
                  </a:defRPr>
                </a:pPr>
                <a:endParaRPr lang="ja-JP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H27</c:v>
                </c:pt>
                <c:pt idx="1">
                  <c:v>H28</c:v>
                </c:pt>
                <c:pt idx="2">
                  <c:v>H29</c:v>
                </c:pt>
                <c:pt idx="3">
                  <c:v>H30</c:v>
                </c:pt>
                <c:pt idx="4">
                  <c:v>R1</c:v>
                </c:pt>
                <c:pt idx="5">
                  <c:v>R2</c:v>
                </c:pt>
                <c:pt idx="6">
                  <c:v>R3</c:v>
                </c:pt>
                <c:pt idx="7">
                  <c:v>R4</c:v>
                </c:pt>
                <c:pt idx="8">
                  <c:v>R5</c:v>
                </c:pt>
                <c:pt idx="9">
                  <c:v>R6</c:v>
                </c:pt>
                <c:pt idx="10">
                  <c:v>R7</c:v>
                </c:pt>
              </c:strCache>
            </c:str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0.313</c:v>
                </c:pt>
                <c:pt idx="1">
                  <c:v>0.28599999999999998</c:v>
                </c:pt>
                <c:pt idx="2">
                  <c:v>0.28999999999999998</c:v>
                </c:pt>
                <c:pt idx="3">
                  <c:v>0.32</c:v>
                </c:pt>
                <c:pt idx="4">
                  <c:v>0.19350000000000001</c:v>
                </c:pt>
                <c:pt idx="5">
                  <c:v>0.2666</c:v>
                </c:pt>
                <c:pt idx="6">
                  <c:v>0.34375</c:v>
                </c:pt>
                <c:pt idx="7">
                  <c:v>0.375</c:v>
                </c:pt>
                <c:pt idx="8">
                  <c:v>0.35499999999999998</c:v>
                </c:pt>
                <c:pt idx="9">
                  <c:v>0.37</c:v>
                </c:pt>
                <c:pt idx="10">
                  <c:v>0.38500000000000001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69B-43FC-8512-ABBCA50C68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47154544"/>
        <c:axId val="347150624"/>
      </c:barChart>
      <c:catAx>
        <c:axId val="347154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HG丸ｺﾞｼｯｸM-PRO" panose="020F0600000000000000" pitchFamily="50" charset="-128"/>
                <a:ea typeface="HG丸ｺﾞｼｯｸM-PRO" panose="020F0600000000000000" pitchFamily="50" charset="-128"/>
                <a:cs typeface="+mn-cs"/>
              </a:defRPr>
            </a:pPr>
            <a:endParaRPr lang="ja-JP"/>
          </a:p>
        </c:txPr>
        <c:crossAx val="347150624"/>
        <c:crosses val="autoZero"/>
        <c:auto val="1"/>
        <c:lblAlgn val="ctr"/>
        <c:lblOffset val="100"/>
        <c:noMultiLvlLbl val="0"/>
      </c:catAx>
      <c:valAx>
        <c:axId val="347150624"/>
        <c:scaling>
          <c:orientation val="minMax"/>
          <c:max val="0.5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HG丸ｺﾞｼｯｸM-PRO" panose="020F0600000000000000" pitchFamily="50" charset="-128"/>
                <a:ea typeface="HG丸ｺﾞｼｯｸM-PRO" panose="020F0600000000000000" pitchFamily="50" charset="-128"/>
                <a:cs typeface="+mn-cs"/>
              </a:defRPr>
            </a:pPr>
            <a:endParaRPr lang="ja-JP"/>
          </a:p>
        </c:txPr>
        <c:crossAx val="347154544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HG丸ｺﾞｼｯｸM-PRO" panose="020F0600000000000000" pitchFamily="50" charset="-128"/>
          <a:ea typeface="HG丸ｺﾞｼｯｸM-PRO" panose="020F0600000000000000" pitchFamily="50" charset="-128"/>
        </a:defRPr>
      </a:pPr>
      <a:endParaRPr lang="ja-JP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0.07812</cdr:x>
      <cdr:y>0.48203</cdr:y>
    </cdr:from>
    <cdr:to>
      <cdr:x>0.96875</cdr:x>
      <cdr:y>0.48203</cdr:y>
    </cdr:to>
    <cdr:cxnSp macro="">
      <cdr:nvCxnSpPr>
        <cdr:cNvPr id="3" name="直線コネクタ 2"/>
        <cdr:cNvCxnSpPr/>
      </cdr:nvCxnSpPr>
      <cdr:spPr>
        <a:xfrm xmlns:a="http://schemas.openxmlformats.org/drawingml/2006/main">
          <a:off x="428619" y="1074366"/>
          <a:ext cx="4886352" cy="0"/>
        </a:xfrm>
        <a:prstGeom xmlns:a="http://schemas.openxmlformats.org/drawingml/2006/main" prst="line">
          <a:avLst/>
        </a:prstGeom>
        <a:ln xmlns:a="http://schemas.openxmlformats.org/drawingml/2006/main" w="19050">
          <a:solidFill>
            <a:schemeClr val="tx1"/>
          </a:solidFill>
          <a:prstDash val="sysDot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Arial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entury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435A9-417C-446C-8E3A-666423900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1035</TotalTime>
  <Pages>2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雄哉</dc:creator>
  <cp:keywords/>
  <dc:description/>
  <cp:lastModifiedBy>色摩 信太朗</cp:lastModifiedBy>
  <cp:revision>85</cp:revision>
  <cp:lastPrinted>2025-08-28T03:01:00Z</cp:lastPrinted>
  <dcterms:created xsi:type="dcterms:W3CDTF">2018-07-17T01:01:00Z</dcterms:created>
  <dcterms:modified xsi:type="dcterms:W3CDTF">2026-02-06T01:17:00Z</dcterms:modified>
</cp:coreProperties>
</file>